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C1" w:rsidRPr="00F46EC1" w:rsidRDefault="00F46EC1" w:rsidP="002047EF">
      <w:pPr>
        <w:jc w:val="center"/>
        <w:rPr>
          <w:b/>
          <w:color w:val="FF0000"/>
          <w:sz w:val="24"/>
          <w:szCs w:val="24"/>
        </w:rPr>
      </w:pPr>
    </w:p>
    <w:p w:rsidR="00252D4C" w:rsidRPr="00F46EC1" w:rsidRDefault="002047EF" w:rsidP="002047EF">
      <w:pPr>
        <w:jc w:val="center"/>
        <w:rPr>
          <w:b/>
          <w:color w:val="FF0000"/>
          <w:sz w:val="44"/>
          <w:szCs w:val="44"/>
        </w:rPr>
      </w:pPr>
      <w:r w:rsidRPr="00F46EC1">
        <w:rPr>
          <w:b/>
          <w:color w:val="FF0000"/>
          <w:sz w:val="44"/>
          <w:szCs w:val="44"/>
        </w:rPr>
        <w:t xml:space="preserve">Is it an </w:t>
      </w:r>
      <w:r w:rsidRPr="00F46EC1">
        <w:rPr>
          <w:b/>
          <w:color w:val="FF0000"/>
          <w:sz w:val="44"/>
          <w:szCs w:val="44"/>
          <w:u w:val="single"/>
        </w:rPr>
        <w:t>incentive</w:t>
      </w:r>
      <w:r w:rsidRPr="00F46EC1">
        <w:rPr>
          <w:b/>
          <w:color w:val="FF0000"/>
          <w:sz w:val="44"/>
          <w:szCs w:val="44"/>
        </w:rPr>
        <w:t xml:space="preserve"> or a </w:t>
      </w:r>
      <w:r w:rsidRPr="00F46EC1">
        <w:rPr>
          <w:b/>
          <w:color w:val="FF0000"/>
          <w:sz w:val="44"/>
          <w:szCs w:val="44"/>
          <w:u w:val="single"/>
        </w:rPr>
        <w:t>reimbursement</w:t>
      </w:r>
      <w:r w:rsidRPr="00F46EC1">
        <w:rPr>
          <w:b/>
          <w:color w:val="FF0000"/>
          <w:sz w:val="44"/>
          <w:szCs w:val="44"/>
        </w:rPr>
        <w:t>?</w:t>
      </w:r>
    </w:p>
    <w:p w:rsidR="002047EF" w:rsidRDefault="002047EF" w:rsidP="002047EF">
      <w:pPr>
        <w:jc w:val="center"/>
        <w:rPr>
          <w:b/>
        </w:rPr>
      </w:pPr>
    </w:p>
    <w:tbl>
      <w:tblPr>
        <w:tblStyle w:val="TableGrid"/>
        <w:tblW w:w="5000" w:type="pct"/>
        <w:tblLook w:val="04A0"/>
      </w:tblPr>
      <w:tblGrid>
        <w:gridCol w:w="3876"/>
        <w:gridCol w:w="5370"/>
        <w:gridCol w:w="5370"/>
      </w:tblGrid>
      <w:tr w:rsidR="002047EF" w:rsidTr="000F5892">
        <w:tc>
          <w:tcPr>
            <w:tcW w:w="1326" w:type="pct"/>
          </w:tcPr>
          <w:p w:rsidR="002047EF" w:rsidRDefault="002047EF" w:rsidP="002047EF">
            <w:pPr>
              <w:jc w:val="center"/>
              <w:rPr>
                <w:b/>
              </w:rPr>
            </w:pPr>
          </w:p>
        </w:tc>
        <w:tc>
          <w:tcPr>
            <w:tcW w:w="1837" w:type="pct"/>
          </w:tcPr>
          <w:p w:rsidR="002047EF" w:rsidRPr="002047EF" w:rsidRDefault="002047EF" w:rsidP="002047E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Incentive</w:t>
            </w:r>
          </w:p>
        </w:tc>
        <w:tc>
          <w:tcPr>
            <w:tcW w:w="1837" w:type="pct"/>
          </w:tcPr>
          <w:p w:rsidR="002047EF" w:rsidRPr="002047EF" w:rsidRDefault="002047EF" w:rsidP="002047EF">
            <w:pPr>
              <w:jc w:val="center"/>
            </w:pPr>
            <w:r>
              <w:rPr>
                <w:b/>
                <w:u w:val="single"/>
              </w:rPr>
              <w:t>Reimbursement</w:t>
            </w:r>
          </w:p>
        </w:tc>
      </w:tr>
      <w:tr w:rsidR="002047EF" w:rsidTr="000F5892">
        <w:tc>
          <w:tcPr>
            <w:tcW w:w="1326" w:type="pct"/>
          </w:tcPr>
          <w:p w:rsidR="002047EF" w:rsidRPr="002047EF" w:rsidRDefault="002047EF" w:rsidP="002047EF">
            <w:r>
              <w:rPr>
                <w:b/>
              </w:rPr>
              <w:t>Definition</w:t>
            </w:r>
          </w:p>
        </w:tc>
        <w:tc>
          <w:tcPr>
            <w:tcW w:w="1837" w:type="pct"/>
          </w:tcPr>
          <w:p w:rsidR="002047EF" w:rsidRDefault="002047EF" w:rsidP="002047EF">
            <w:pPr>
              <w:pStyle w:val="ListParagraph"/>
              <w:numPr>
                <w:ilvl w:val="0"/>
                <w:numId w:val="1"/>
              </w:numPr>
              <w:ind w:left="377" w:hanging="377"/>
            </w:pPr>
            <w:r>
              <w:t>Payment given to an individual as compensation for participating in a research study.</w:t>
            </w:r>
          </w:p>
          <w:p w:rsidR="00406E72" w:rsidRPr="002047EF" w:rsidRDefault="00406E72" w:rsidP="002047EF">
            <w:pPr>
              <w:pStyle w:val="ListParagraph"/>
              <w:numPr>
                <w:ilvl w:val="0"/>
                <w:numId w:val="1"/>
              </w:numPr>
              <w:ind w:left="377" w:hanging="377"/>
            </w:pPr>
            <w:r>
              <w:t xml:space="preserve">Can be payment given to a subject </w:t>
            </w:r>
            <w:r w:rsidRPr="00F43E73">
              <w:rPr>
                <w:b/>
              </w:rPr>
              <w:t>intended</w:t>
            </w:r>
            <w:r>
              <w:t xml:space="preserve"> to cover the costs of travel.</w:t>
            </w:r>
          </w:p>
        </w:tc>
        <w:tc>
          <w:tcPr>
            <w:tcW w:w="1837" w:type="pct"/>
          </w:tcPr>
          <w:p w:rsidR="002047EF" w:rsidRPr="002047EF" w:rsidRDefault="002047EF" w:rsidP="002047EF">
            <w:pPr>
              <w:pStyle w:val="ListParagraph"/>
              <w:numPr>
                <w:ilvl w:val="0"/>
                <w:numId w:val="1"/>
              </w:numPr>
              <w:ind w:left="395"/>
            </w:pPr>
            <w:r>
              <w:t xml:space="preserve">Payment given to an individual for </w:t>
            </w:r>
            <w:r w:rsidR="00406E72" w:rsidRPr="00406E72">
              <w:rPr>
                <w:b/>
                <w:u w:val="single"/>
              </w:rPr>
              <w:t xml:space="preserve">actual </w:t>
            </w:r>
            <w:r>
              <w:t>out-of-pocket expenses incurred, typically as a result of travel.</w:t>
            </w:r>
          </w:p>
        </w:tc>
      </w:tr>
      <w:tr w:rsidR="002047EF" w:rsidTr="000F5892">
        <w:tc>
          <w:tcPr>
            <w:tcW w:w="1326" w:type="pct"/>
          </w:tcPr>
          <w:p w:rsidR="002047EF" w:rsidRDefault="002047EF" w:rsidP="002047EF">
            <w:pPr>
              <w:rPr>
                <w:b/>
              </w:rPr>
            </w:pPr>
            <w:r>
              <w:rPr>
                <w:b/>
              </w:rPr>
              <w:t>Payment type options</w:t>
            </w:r>
          </w:p>
        </w:tc>
        <w:tc>
          <w:tcPr>
            <w:tcW w:w="1837" w:type="pct"/>
          </w:tcPr>
          <w:p w:rsidR="002047EF" w:rsidRDefault="002047EF" w:rsidP="002047EF">
            <w:pPr>
              <w:pStyle w:val="ListParagraph"/>
              <w:numPr>
                <w:ilvl w:val="0"/>
                <w:numId w:val="1"/>
              </w:numPr>
              <w:ind w:left="377" w:hanging="377"/>
            </w:pPr>
            <w:r>
              <w:t>Cash</w:t>
            </w:r>
          </w:p>
          <w:p w:rsidR="002047EF" w:rsidRDefault="002047EF" w:rsidP="002047EF">
            <w:pPr>
              <w:pStyle w:val="ListParagraph"/>
              <w:numPr>
                <w:ilvl w:val="0"/>
                <w:numId w:val="1"/>
              </w:numPr>
              <w:ind w:left="377" w:hanging="377"/>
            </w:pPr>
            <w:r>
              <w:t>Check</w:t>
            </w:r>
          </w:p>
          <w:p w:rsidR="002047EF" w:rsidRDefault="002047EF" w:rsidP="002047EF">
            <w:pPr>
              <w:pStyle w:val="ListParagraph"/>
              <w:numPr>
                <w:ilvl w:val="0"/>
                <w:numId w:val="1"/>
              </w:numPr>
              <w:ind w:left="377" w:hanging="377"/>
            </w:pPr>
            <w:r>
              <w:t>Payment Coupon</w:t>
            </w:r>
          </w:p>
          <w:p w:rsidR="002047EF" w:rsidRDefault="002047EF" w:rsidP="002047EF">
            <w:pPr>
              <w:pStyle w:val="ListParagraph"/>
              <w:numPr>
                <w:ilvl w:val="0"/>
                <w:numId w:val="1"/>
              </w:numPr>
              <w:ind w:left="377" w:hanging="377"/>
            </w:pPr>
            <w:r>
              <w:t>VISA Gift Card</w:t>
            </w:r>
          </w:p>
        </w:tc>
        <w:tc>
          <w:tcPr>
            <w:tcW w:w="1837" w:type="pct"/>
          </w:tcPr>
          <w:p w:rsidR="002047EF" w:rsidRDefault="002047EF" w:rsidP="002047EF">
            <w:pPr>
              <w:pStyle w:val="ListParagraph"/>
              <w:numPr>
                <w:ilvl w:val="0"/>
                <w:numId w:val="1"/>
              </w:numPr>
              <w:ind w:left="395"/>
            </w:pPr>
            <w:r>
              <w:t>Check</w:t>
            </w:r>
          </w:p>
        </w:tc>
      </w:tr>
      <w:tr w:rsidR="002047EF" w:rsidTr="000F5892">
        <w:tc>
          <w:tcPr>
            <w:tcW w:w="1326" w:type="pct"/>
          </w:tcPr>
          <w:p w:rsidR="002047EF" w:rsidRDefault="002047EF" w:rsidP="002047EF">
            <w:pPr>
              <w:rPr>
                <w:b/>
              </w:rPr>
            </w:pPr>
            <w:r>
              <w:rPr>
                <w:b/>
              </w:rPr>
              <w:t>Administrative / System Oversight</w:t>
            </w:r>
          </w:p>
        </w:tc>
        <w:tc>
          <w:tcPr>
            <w:tcW w:w="1837" w:type="pct"/>
          </w:tcPr>
          <w:p w:rsidR="002047EF" w:rsidRDefault="002047EF" w:rsidP="002047EF">
            <w:pPr>
              <w:pStyle w:val="ListParagraph"/>
              <w:numPr>
                <w:ilvl w:val="0"/>
                <w:numId w:val="1"/>
              </w:numPr>
              <w:ind w:left="377" w:hanging="377"/>
            </w:pPr>
            <w:r>
              <w:t>Human Subject Incentives Program (HSIP)</w:t>
            </w:r>
          </w:p>
        </w:tc>
        <w:tc>
          <w:tcPr>
            <w:tcW w:w="1837" w:type="pct"/>
          </w:tcPr>
          <w:p w:rsidR="002047EF" w:rsidRDefault="002047EF" w:rsidP="009A6CA4">
            <w:pPr>
              <w:pStyle w:val="ListParagraph"/>
              <w:numPr>
                <w:ilvl w:val="0"/>
                <w:numId w:val="1"/>
              </w:numPr>
              <w:ind w:left="395"/>
            </w:pPr>
            <w:r>
              <w:t>Accounts Payable</w:t>
            </w:r>
            <w:r w:rsidR="00342ACE">
              <w:t xml:space="preserve"> (AP)</w:t>
            </w:r>
          </w:p>
        </w:tc>
      </w:tr>
      <w:tr w:rsidR="002047EF" w:rsidTr="000F5892">
        <w:tc>
          <w:tcPr>
            <w:tcW w:w="1326" w:type="pct"/>
          </w:tcPr>
          <w:p w:rsidR="002047EF" w:rsidRDefault="002047EF" w:rsidP="002047EF">
            <w:pPr>
              <w:rPr>
                <w:b/>
              </w:rPr>
            </w:pPr>
            <w:r>
              <w:rPr>
                <w:b/>
              </w:rPr>
              <w:t>Is the payment taxable?</w:t>
            </w:r>
          </w:p>
          <w:p w:rsidR="002047EF" w:rsidRPr="002047EF" w:rsidRDefault="002047EF" w:rsidP="002047EF">
            <w:pPr>
              <w:rPr>
                <w:b/>
                <w:sz w:val="16"/>
                <w:szCs w:val="16"/>
              </w:rPr>
            </w:pPr>
          </w:p>
        </w:tc>
        <w:tc>
          <w:tcPr>
            <w:tcW w:w="1837" w:type="pct"/>
          </w:tcPr>
          <w:p w:rsidR="002047EF" w:rsidRDefault="002047EF" w:rsidP="002047EF">
            <w:pPr>
              <w:pStyle w:val="ListParagraph"/>
              <w:numPr>
                <w:ilvl w:val="0"/>
                <w:numId w:val="1"/>
              </w:numPr>
              <w:ind w:left="377" w:hanging="377"/>
            </w:pPr>
            <w:r>
              <w:t>Yes</w:t>
            </w:r>
          </w:p>
          <w:p w:rsidR="002047EF" w:rsidRDefault="002047EF" w:rsidP="002047EF">
            <w:pPr>
              <w:rPr>
                <w:b/>
                <w:sz w:val="16"/>
                <w:szCs w:val="16"/>
              </w:rPr>
            </w:pPr>
          </w:p>
          <w:p w:rsidR="002047EF" w:rsidRPr="002047EF" w:rsidRDefault="002047EF" w:rsidP="00852E69">
            <w:r w:rsidRPr="002047EF">
              <w:rPr>
                <w:sz w:val="16"/>
                <w:szCs w:val="16"/>
              </w:rPr>
              <w:t xml:space="preserve">Note that neither the HSIP </w:t>
            </w:r>
            <w:r w:rsidR="00852E69">
              <w:rPr>
                <w:sz w:val="16"/>
                <w:szCs w:val="16"/>
              </w:rPr>
              <w:t>o</w:t>
            </w:r>
            <w:r w:rsidRPr="002047EF">
              <w:rPr>
                <w:sz w:val="16"/>
                <w:szCs w:val="16"/>
              </w:rPr>
              <w:t xml:space="preserve">ffice nor Accounts Payable </w:t>
            </w:r>
            <w:r w:rsidR="000F5892">
              <w:rPr>
                <w:sz w:val="16"/>
                <w:szCs w:val="16"/>
              </w:rPr>
              <w:t xml:space="preserve">can </w:t>
            </w:r>
            <w:r w:rsidRPr="002047EF">
              <w:rPr>
                <w:sz w:val="16"/>
                <w:szCs w:val="16"/>
              </w:rPr>
              <w:t>provide tax advice. Please consult your tax advisor for details related to your particular tax situation.</w:t>
            </w:r>
          </w:p>
        </w:tc>
        <w:tc>
          <w:tcPr>
            <w:tcW w:w="1837" w:type="pct"/>
          </w:tcPr>
          <w:p w:rsidR="002047EF" w:rsidRDefault="002047EF" w:rsidP="002047EF">
            <w:pPr>
              <w:pStyle w:val="ListParagraph"/>
              <w:numPr>
                <w:ilvl w:val="0"/>
                <w:numId w:val="1"/>
              </w:numPr>
              <w:ind w:left="395"/>
            </w:pPr>
            <w:r>
              <w:t>No</w:t>
            </w:r>
          </w:p>
          <w:p w:rsidR="002047EF" w:rsidRDefault="002047EF" w:rsidP="002047EF">
            <w:pPr>
              <w:rPr>
                <w:sz w:val="16"/>
                <w:szCs w:val="16"/>
              </w:rPr>
            </w:pPr>
          </w:p>
          <w:p w:rsidR="002047EF" w:rsidRDefault="002047EF" w:rsidP="00852E69">
            <w:r w:rsidRPr="002047EF">
              <w:rPr>
                <w:sz w:val="16"/>
                <w:szCs w:val="16"/>
              </w:rPr>
              <w:t xml:space="preserve">Note that neither the HSIP </w:t>
            </w:r>
            <w:r w:rsidR="00852E69">
              <w:rPr>
                <w:sz w:val="16"/>
                <w:szCs w:val="16"/>
              </w:rPr>
              <w:t>o</w:t>
            </w:r>
            <w:r w:rsidRPr="002047EF">
              <w:rPr>
                <w:sz w:val="16"/>
                <w:szCs w:val="16"/>
              </w:rPr>
              <w:t>ffice nor Accounts Payable</w:t>
            </w:r>
            <w:r w:rsidR="000F5892">
              <w:rPr>
                <w:sz w:val="16"/>
                <w:szCs w:val="16"/>
              </w:rPr>
              <w:t xml:space="preserve"> can </w:t>
            </w:r>
            <w:r w:rsidRPr="002047EF">
              <w:rPr>
                <w:sz w:val="16"/>
                <w:szCs w:val="16"/>
              </w:rPr>
              <w:t>provide tax advice. Please consult your tax advisor for details related to your particular tax situation.</w:t>
            </w:r>
          </w:p>
        </w:tc>
      </w:tr>
    </w:tbl>
    <w:p w:rsidR="0048049B" w:rsidRDefault="0048049B" w:rsidP="002047EF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6048"/>
        <w:gridCol w:w="8550"/>
      </w:tblGrid>
      <w:tr w:rsidR="0048049B" w:rsidTr="00F46EC1">
        <w:tc>
          <w:tcPr>
            <w:tcW w:w="14598" w:type="dxa"/>
            <w:gridSpan w:val="2"/>
          </w:tcPr>
          <w:p w:rsidR="0048049B" w:rsidRDefault="0048049B" w:rsidP="0048049B">
            <w:pPr>
              <w:jc w:val="center"/>
              <w:rPr>
                <w:b/>
              </w:rPr>
            </w:pPr>
            <w:r>
              <w:rPr>
                <w:b/>
              </w:rPr>
              <w:t>Frequently Asked Ques</w:t>
            </w:r>
            <w:r w:rsidR="008D523D">
              <w:rPr>
                <w:b/>
              </w:rPr>
              <w:t>t</w:t>
            </w:r>
            <w:r>
              <w:rPr>
                <w:b/>
              </w:rPr>
              <w:t>ions</w:t>
            </w:r>
          </w:p>
        </w:tc>
      </w:tr>
      <w:tr w:rsidR="0048049B" w:rsidTr="00F46EC1">
        <w:tc>
          <w:tcPr>
            <w:tcW w:w="6048" w:type="dxa"/>
          </w:tcPr>
          <w:p w:rsidR="0048049B" w:rsidRPr="0048049B" w:rsidRDefault="0048049B" w:rsidP="004804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 want to pay my research subjects for the travel costs they might incur when participating in my study.  Am I giving them an incentive or a reimbursement?</w:t>
            </w:r>
          </w:p>
        </w:tc>
        <w:tc>
          <w:tcPr>
            <w:tcW w:w="8550" w:type="dxa"/>
          </w:tcPr>
          <w:p w:rsidR="0048049B" w:rsidRDefault="0048049B" w:rsidP="0048049B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First, we need to know if you will be collecting receipts (hotel, meals, etc.), or documenting the mileage travelled.</w:t>
            </w:r>
          </w:p>
          <w:p w:rsidR="0048049B" w:rsidRDefault="0048049B" w:rsidP="0048049B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If you will be collecting this documentation, and will be paying your subjects on a one-to-one basis (i.e. the payment matches the receipts/mileage), this is a </w:t>
            </w:r>
            <w:r>
              <w:rPr>
                <w:b/>
              </w:rPr>
              <w:t>reimbursement</w:t>
            </w:r>
            <w:r>
              <w:t>.</w:t>
            </w:r>
          </w:p>
          <w:p w:rsidR="0048049B" w:rsidRPr="0048049B" w:rsidRDefault="0048049B" w:rsidP="0048049B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If you will be paying a flat amount to each subject, regardless of their originating location, you are giving your subjects an </w:t>
            </w:r>
            <w:r>
              <w:rPr>
                <w:b/>
              </w:rPr>
              <w:t>incentive</w:t>
            </w:r>
            <w:r>
              <w:t>.</w:t>
            </w:r>
          </w:p>
        </w:tc>
      </w:tr>
      <w:tr w:rsidR="0048049B" w:rsidTr="00F46EC1">
        <w:tc>
          <w:tcPr>
            <w:tcW w:w="6048" w:type="dxa"/>
          </w:tcPr>
          <w:p w:rsidR="0048049B" w:rsidRDefault="0048049B" w:rsidP="004804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 don’t like the fact that I have to wait for processing a reimbursement through the proper channels (Concur, Non-PO, etc.).  Can I still use HSIP to pay my subjects for their travel?</w:t>
            </w:r>
          </w:p>
        </w:tc>
        <w:tc>
          <w:tcPr>
            <w:tcW w:w="8550" w:type="dxa"/>
          </w:tcPr>
          <w:p w:rsidR="00A47505" w:rsidRDefault="00A47505" w:rsidP="0048049B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rPr>
                <w:b/>
              </w:rPr>
              <w:t>BE ADVISED</w:t>
            </w:r>
            <w:r>
              <w:t xml:space="preserve">: Since incentives are </w:t>
            </w:r>
            <w:r>
              <w:rPr>
                <w:b/>
              </w:rPr>
              <w:t>taxable income</w:t>
            </w:r>
            <w:r>
              <w:t xml:space="preserve">, your subjects will have to claim any true reimbursement classified as an incentive, as income.  If your subjects accrue more than $600 in income from the University (even reimbursements inaccurately classified as incentives), it will be reported to the IRS on a </w:t>
            </w:r>
            <w:r w:rsidR="00342ACE">
              <w:t>1099-MISC form</w:t>
            </w:r>
            <w:r>
              <w:t>.</w:t>
            </w:r>
          </w:p>
          <w:p w:rsidR="0048049B" w:rsidRDefault="00A47505" w:rsidP="00A47505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HSIP is </w:t>
            </w:r>
            <w:r>
              <w:rPr>
                <w:b/>
              </w:rPr>
              <w:t xml:space="preserve">not </w:t>
            </w:r>
            <w:r>
              <w:t>the preferred method to reimburse subject travel expenses.</w:t>
            </w:r>
          </w:p>
          <w:p w:rsidR="00A47505" w:rsidRDefault="00A47505" w:rsidP="00342ACE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The added time it might take the </w:t>
            </w:r>
            <w:r w:rsidRPr="009A6CA4">
              <w:rPr>
                <w:b/>
              </w:rPr>
              <w:t>study team</w:t>
            </w:r>
            <w:r>
              <w:t xml:space="preserve"> to </w:t>
            </w:r>
            <w:r w:rsidR="009A6CA4">
              <w:t xml:space="preserve">appropriately </w:t>
            </w:r>
            <w:r>
              <w:t>process a reimbursement</w:t>
            </w:r>
            <w:r w:rsidR="009A6CA4">
              <w:t xml:space="preserve"> through </w:t>
            </w:r>
            <w:r w:rsidR="00342ACE">
              <w:t xml:space="preserve">AP </w:t>
            </w:r>
            <w:r>
              <w:t xml:space="preserve">ensures that the </w:t>
            </w:r>
            <w:r w:rsidRPr="009A6CA4">
              <w:rPr>
                <w:b/>
              </w:rPr>
              <w:t>subject</w:t>
            </w:r>
            <w:r>
              <w:t xml:space="preserve"> does not have spend unneeded effort</w:t>
            </w:r>
            <w:r w:rsidR="009A6CA4">
              <w:t xml:space="preserve"> with his/her tax advisor to correctly categorize the errant incentive payment as a reimbursement.</w:t>
            </w:r>
          </w:p>
        </w:tc>
      </w:tr>
      <w:tr w:rsidR="00602D4F" w:rsidTr="00F46EC1">
        <w:tc>
          <w:tcPr>
            <w:tcW w:w="6048" w:type="dxa"/>
          </w:tcPr>
          <w:p w:rsidR="00602D4F" w:rsidRDefault="00602D4F" w:rsidP="004804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lastRenderedPageBreak/>
              <w:t>I have been telling my subjects that I will give them $25 to reimburse them for their travel.  Now you’re telling me that this is not a reimbursement?</w:t>
            </w:r>
          </w:p>
        </w:tc>
        <w:tc>
          <w:tcPr>
            <w:tcW w:w="8550" w:type="dxa"/>
          </w:tcPr>
          <w:p w:rsidR="00602D4F" w:rsidRDefault="00602D4F" w:rsidP="009A6CA4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In technical terms, a flat amount paid to a subject regardless of the costs of travel, is an </w:t>
            </w:r>
            <w:r>
              <w:rPr>
                <w:b/>
              </w:rPr>
              <w:t>incentive</w:t>
            </w:r>
            <w:r>
              <w:t xml:space="preserve">, and should be classified as such. If your informed consent mentions reimbursement, or if your subjects identify more with the idea of a reimbursement for travel, you </w:t>
            </w:r>
            <w:r w:rsidR="009A6CA4">
              <w:t>might</w:t>
            </w:r>
            <w:r>
              <w:t xml:space="preserve"> still tell your subjects this is a reimbursement.  However, for the purposes of properly accounting for this payment, the University considers this an </w:t>
            </w:r>
            <w:r>
              <w:rPr>
                <w:b/>
              </w:rPr>
              <w:t>incentive</w:t>
            </w:r>
            <w:r>
              <w:t>.</w:t>
            </w:r>
          </w:p>
        </w:tc>
      </w:tr>
    </w:tbl>
    <w:p w:rsidR="0048049B" w:rsidRDefault="0048049B" w:rsidP="002047EF">
      <w:pPr>
        <w:jc w:val="center"/>
        <w:rPr>
          <w:b/>
        </w:rPr>
      </w:pPr>
    </w:p>
    <w:p w:rsidR="00D0207F" w:rsidRPr="002047EF" w:rsidRDefault="00D0207F" w:rsidP="002047EF">
      <w:pPr>
        <w:jc w:val="center"/>
        <w:rPr>
          <w:b/>
        </w:rPr>
      </w:pPr>
    </w:p>
    <w:sectPr w:rsidR="00D0207F" w:rsidRPr="002047EF" w:rsidSect="002E5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07F" w:rsidRDefault="00D0207F" w:rsidP="0048049B">
      <w:r>
        <w:separator/>
      </w:r>
    </w:p>
  </w:endnote>
  <w:endnote w:type="continuationSeparator" w:id="0">
    <w:p w:rsidR="00D0207F" w:rsidRDefault="00D0207F" w:rsidP="00480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73" w:rsidRDefault="00BB50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7F" w:rsidRPr="000F01BD" w:rsidRDefault="00D0207F" w:rsidP="000F01BD">
    <w:pPr>
      <w:pStyle w:val="Footer"/>
      <w:tabs>
        <w:tab w:val="clear" w:pos="4680"/>
        <w:tab w:val="center" w:pos="6660"/>
      </w:tabs>
      <w:rPr>
        <w:i/>
        <w:sz w:val="18"/>
        <w:szCs w:val="18"/>
      </w:rPr>
    </w:pPr>
    <w:r>
      <w:rPr>
        <w:i/>
        <w:sz w:val="18"/>
        <w:szCs w:val="18"/>
      </w:rPr>
      <w:t xml:space="preserve">Last updated: </w:t>
    </w:r>
    <w:r w:rsidR="00F01E02"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SAVEDATE  \@ "M/d/yyyy"  \* MERGEFORMAT </w:instrText>
    </w:r>
    <w:r w:rsidR="00F01E02">
      <w:rPr>
        <w:i/>
        <w:sz w:val="18"/>
        <w:szCs w:val="18"/>
      </w:rPr>
      <w:fldChar w:fldCharType="separate"/>
    </w:r>
    <w:r w:rsidR="00CD7F49">
      <w:rPr>
        <w:i/>
        <w:noProof/>
        <w:sz w:val="18"/>
        <w:szCs w:val="18"/>
      </w:rPr>
      <w:t>10/4/2012</w:t>
    </w:r>
    <w:r w:rsidR="00F01E02"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  <w:t xml:space="preserve">Page </w:t>
    </w:r>
    <w:r w:rsidR="00F01E02"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 \* Arabic  \* MERGEFORMAT </w:instrText>
    </w:r>
    <w:r w:rsidR="00F01E02">
      <w:rPr>
        <w:i/>
        <w:sz w:val="18"/>
        <w:szCs w:val="18"/>
      </w:rPr>
      <w:fldChar w:fldCharType="separate"/>
    </w:r>
    <w:r w:rsidR="00CD7F49">
      <w:rPr>
        <w:i/>
        <w:noProof/>
        <w:sz w:val="18"/>
        <w:szCs w:val="18"/>
      </w:rPr>
      <w:t>2</w:t>
    </w:r>
    <w:r w:rsidR="00F01E02"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fldSimple w:instr=" NUMPAGES  \* Arabic  \* MERGEFORMAT ">
      <w:r w:rsidR="00CD7F49" w:rsidRPr="00CD7F49">
        <w:rPr>
          <w:i/>
          <w:noProof/>
          <w:sz w:val="18"/>
          <w:szCs w:val="18"/>
        </w:rPr>
        <w:t>2</w:t>
      </w:r>
    </w:fldSimple>
    <w:r>
      <w:rPr>
        <w:i/>
        <w:sz w:val="18"/>
        <w:szCs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5" w:rsidRPr="000F01BD" w:rsidRDefault="00F127C5" w:rsidP="00F127C5">
    <w:pPr>
      <w:pStyle w:val="Footer"/>
      <w:tabs>
        <w:tab w:val="clear" w:pos="4680"/>
        <w:tab w:val="center" w:pos="6660"/>
      </w:tabs>
      <w:rPr>
        <w:i/>
        <w:sz w:val="18"/>
        <w:szCs w:val="18"/>
      </w:rPr>
    </w:pPr>
    <w:r>
      <w:rPr>
        <w:i/>
        <w:sz w:val="18"/>
        <w:szCs w:val="18"/>
      </w:rPr>
      <w:t xml:space="preserve">Last updated: </w:t>
    </w:r>
    <w:r w:rsidR="00F01E02"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SAVEDATE  \@ "M/d/yyyy"  \* MERGEFORMAT </w:instrText>
    </w:r>
    <w:r w:rsidR="00F01E02">
      <w:rPr>
        <w:i/>
        <w:sz w:val="18"/>
        <w:szCs w:val="18"/>
      </w:rPr>
      <w:fldChar w:fldCharType="separate"/>
    </w:r>
    <w:r w:rsidR="00CD7F49">
      <w:rPr>
        <w:i/>
        <w:noProof/>
        <w:sz w:val="18"/>
        <w:szCs w:val="18"/>
      </w:rPr>
      <w:t>10/4/2012</w:t>
    </w:r>
    <w:r w:rsidR="00F01E02"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  <w:t xml:space="preserve">Page </w:t>
    </w:r>
    <w:r w:rsidR="00F01E02"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 \* Arabic  \* MERGEFORMAT </w:instrText>
    </w:r>
    <w:r w:rsidR="00F01E02">
      <w:rPr>
        <w:i/>
        <w:sz w:val="18"/>
        <w:szCs w:val="18"/>
      </w:rPr>
      <w:fldChar w:fldCharType="separate"/>
    </w:r>
    <w:r w:rsidR="00CD7F49">
      <w:rPr>
        <w:i/>
        <w:noProof/>
        <w:sz w:val="18"/>
        <w:szCs w:val="18"/>
      </w:rPr>
      <w:t>1</w:t>
    </w:r>
    <w:r w:rsidR="00F01E02"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fldSimple w:instr=" NUMPAGES  \* Arabic  \* MERGEFORMAT ">
      <w:r w:rsidR="00CD7F49" w:rsidRPr="00CD7F49">
        <w:rPr>
          <w:i/>
          <w:noProof/>
          <w:sz w:val="18"/>
          <w:szCs w:val="18"/>
        </w:rPr>
        <w:t>1</w:t>
      </w:r>
    </w:fldSimple>
    <w:r>
      <w:rPr>
        <w:i/>
        <w:sz w:val="18"/>
        <w:szCs w:val="18"/>
      </w:rPr>
      <w:t xml:space="preserve"> </w:t>
    </w:r>
  </w:p>
  <w:p w:rsidR="00F127C5" w:rsidRDefault="00F127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07F" w:rsidRDefault="00D0207F" w:rsidP="0048049B">
      <w:r>
        <w:separator/>
      </w:r>
    </w:p>
  </w:footnote>
  <w:footnote w:type="continuationSeparator" w:id="0">
    <w:p w:rsidR="00D0207F" w:rsidRDefault="00D0207F" w:rsidP="00480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73" w:rsidRDefault="00BB50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9615"/>
      <w:docPartObj>
        <w:docPartGallery w:val="Watermarks"/>
        <w:docPartUnique/>
      </w:docPartObj>
    </w:sdtPr>
    <w:sdtContent>
      <w:p w:rsidR="00D0207F" w:rsidRDefault="00BB5073">
        <w:pPr>
          <w:pStyle w:val="Header"/>
        </w:pPr>
        <w:r w:rsidRPr="00BB5073">
          <w:rPr>
            <w:noProof/>
          </w:rPr>
          <w:drawing>
            <wp:inline distT="0" distB="0" distL="0" distR="0">
              <wp:extent cx="2190750" cy="428625"/>
              <wp:effectExtent l="19050" t="0" r="0" b="0"/>
              <wp:docPr id="4" name="Picture 2" descr="TO_Logo_Lar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TO_Logo_Larg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07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:rsidR="00F127C5" w:rsidRDefault="00F127C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9617"/>
      <w:docPartObj>
        <w:docPartGallery w:val="Watermarks"/>
        <w:docPartUnique/>
      </w:docPartObj>
    </w:sdtPr>
    <w:sdtContent>
      <w:p w:rsidR="00F127C5" w:rsidRDefault="00BB5073" w:rsidP="00F127C5">
        <w:pPr>
          <w:pStyle w:val="Header"/>
        </w:pPr>
        <w:r w:rsidRPr="00BB5073">
          <w:rPr>
            <w:noProof/>
          </w:rPr>
          <w:drawing>
            <wp:inline distT="0" distB="0" distL="0" distR="0">
              <wp:extent cx="2181013" cy="426720"/>
              <wp:effectExtent l="19050" t="0" r="0" b="0"/>
              <wp:docPr id="3" name="Picture 2" descr="TO_Logo_Lar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TO_Logo_Larg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07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:rsidR="00F127C5" w:rsidRDefault="00F127C5" w:rsidP="00F127C5">
    <w:pPr>
      <w:jc w:val="center"/>
      <w:rPr>
        <w:b/>
        <w:color w:val="003478"/>
        <w:sz w:val="24"/>
        <w:szCs w:val="24"/>
      </w:rPr>
    </w:pPr>
    <w:r>
      <w:rPr>
        <w:b/>
        <w:color w:val="003478"/>
        <w:sz w:val="24"/>
        <w:szCs w:val="24"/>
      </w:rPr>
      <w:t>H</w:t>
    </w:r>
    <w:r w:rsidRPr="006C1964">
      <w:rPr>
        <w:b/>
        <w:color w:val="003478"/>
        <w:sz w:val="24"/>
        <w:szCs w:val="24"/>
      </w:rPr>
      <w:t>UMAN SUBJECT INCENTIVES PROGRAM</w:t>
    </w:r>
  </w:p>
  <w:p w:rsidR="00F127C5" w:rsidRPr="00BB5073" w:rsidRDefault="00F127C5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56E10"/>
    <w:multiLevelType w:val="hybridMultilevel"/>
    <w:tmpl w:val="4AA4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047EF"/>
    <w:rsid w:val="000B1FF5"/>
    <w:rsid w:val="000F01BD"/>
    <w:rsid w:val="000F5892"/>
    <w:rsid w:val="002047EF"/>
    <w:rsid w:val="00252D4C"/>
    <w:rsid w:val="002E5BED"/>
    <w:rsid w:val="00342ACE"/>
    <w:rsid w:val="00406E72"/>
    <w:rsid w:val="0048049B"/>
    <w:rsid w:val="005265A7"/>
    <w:rsid w:val="00602D4F"/>
    <w:rsid w:val="006527B0"/>
    <w:rsid w:val="00852E69"/>
    <w:rsid w:val="008C2A8A"/>
    <w:rsid w:val="008C6294"/>
    <w:rsid w:val="008D523D"/>
    <w:rsid w:val="009A6CA4"/>
    <w:rsid w:val="009D29EB"/>
    <w:rsid w:val="00A47505"/>
    <w:rsid w:val="00AD5727"/>
    <w:rsid w:val="00BB5073"/>
    <w:rsid w:val="00CD14C9"/>
    <w:rsid w:val="00CD7F49"/>
    <w:rsid w:val="00D0207F"/>
    <w:rsid w:val="00D0216C"/>
    <w:rsid w:val="00EB7BF3"/>
    <w:rsid w:val="00EF6E66"/>
    <w:rsid w:val="00F01E02"/>
    <w:rsid w:val="00F127C5"/>
    <w:rsid w:val="00F43E73"/>
    <w:rsid w:val="00F46EC1"/>
    <w:rsid w:val="00FA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6C"/>
  </w:style>
  <w:style w:type="paragraph" w:styleId="Heading1">
    <w:name w:val="heading 1"/>
    <w:basedOn w:val="Normal"/>
    <w:next w:val="Normal"/>
    <w:link w:val="Heading1Char"/>
    <w:uiPriority w:val="9"/>
    <w:qFormat/>
    <w:rsid w:val="00D021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D0216C"/>
    <w:pPr>
      <w:spacing w:after="100" w:line="276" w:lineRule="auto"/>
    </w:pPr>
    <w:rPr>
      <w:rFonts w:asciiTheme="minorHAnsi" w:eastAsiaTheme="minorEastAsia" w:hAnsiTheme="minorHAnsi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0216C"/>
    <w:pPr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0216C"/>
    <w:pPr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D0216C"/>
    <w:pPr>
      <w:spacing w:line="276" w:lineRule="auto"/>
      <w:outlineLvl w:val="9"/>
    </w:pPr>
  </w:style>
  <w:style w:type="table" w:styleId="TableGrid">
    <w:name w:val="Table Grid"/>
    <w:basedOn w:val="TableNormal"/>
    <w:uiPriority w:val="59"/>
    <w:rsid w:val="00204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49B"/>
  </w:style>
  <w:style w:type="paragraph" w:styleId="Footer">
    <w:name w:val="footer"/>
    <w:basedOn w:val="Normal"/>
    <w:link w:val="FooterChar"/>
    <w:uiPriority w:val="99"/>
    <w:unhideWhenUsed/>
    <w:rsid w:val="00480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49B"/>
  </w:style>
  <w:style w:type="paragraph" w:styleId="BalloonText">
    <w:name w:val="Balloon Text"/>
    <w:basedOn w:val="Normal"/>
    <w:link w:val="BalloonTextChar"/>
    <w:uiPriority w:val="99"/>
    <w:semiHidden/>
    <w:unhideWhenUsed/>
    <w:rsid w:val="00F46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cdevrie</dc:creator>
  <cp:lastModifiedBy>ddoyle</cp:lastModifiedBy>
  <cp:revision>2</cp:revision>
  <dcterms:created xsi:type="dcterms:W3CDTF">2012-10-04T20:03:00Z</dcterms:created>
  <dcterms:modified xsi:type="dcterms:W3CDTF">2012-10-04T20:03:00Z</dcterms:modified>
</cp:coreProperties>
</file>